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4"/>
          <w:szCs w:val="24"/>
          <w:u w:val="single"/>
          <w:shd w:val="clear" w:fill="FFFFFF" w:color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fill="FFFFFF" w:color="FFFFFF"/>
        </w:rPr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  <w:shd w:val="clear" w:fill="F6F6F6" w:color="F6F6F6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fill="FFFFFF" w:color="FFFFFF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22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2023 года 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состоялось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отчётное собрание о работе в 2022 году и планах социально-экономического развития в 2023 году. Мероприятие прошло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 в очном формате в ДК «Юбилейный»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. В заседании приняли участие</w:t>
      </w:r>
      <w:r>
        <w:rPr>
          <w:rFonts w:ascii="Times New Roman" w:hAnsi="Times New Roman" w:cs="Times New Roman"/>
          <w:sz w:val="24"/>
          <w:szCs w:val="24"/>
          <w:shd w:val="clear" w:fill="F6F6F6" w:color="F6F6F6"/>
        </w:rPr>
        <w:t xml:space="preserve">: 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- помощник управляющего делами отдела организационно-правового обеспечения Управления делами Правительства Ленинградской области -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Дзумедзей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Олег Богданович; 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- руководитель приемной Губернатора Ленинградской области в Приозерском районе-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Боярищева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Елена Васильевна;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- заместитель главы администрации по жилищно-коммунальному хозяйству Приозерского муниципального района Ленинградской области - Стецюк Вячеслав Владимирович;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fill="FFFFFF" w:color="FFFFFF"/>
        </w:rPr>
        <w:t xml:space="preserve">- руководитель единого офиса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клиентского обслуживания Социального фонда России в Ленинградской области в Приозерском районе Иванина Лариса Владимировна;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- директор филиала Ленинградского областного ГКУ «Центр социальной защиты населения» в Приозерском районе Ленинградской области - Кузнецова Валентина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Бернардовна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;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1A1A1A"/>
          <w:sz w:val="24"/>
          <w:szCs w:val="24"/>
          <w:shd w:val="clear" w:fill="FFFFFF" w:color="FFFFFF"/>
        </w:rPr>
        <w:t xml:space="preserve">начальник производственного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комплекса «Гранит-Кузнечное»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АО «ЛСР.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Базовые материалы» - Удовиченко Вадим Леонидович;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1A1A1A"/>
          <w:sz w:val="24"/>
          <w:szCs w:val="24"/>
          <w:shd w:val="clear" w:fill="FFFFFF" w:color="FFFFFF"/>
        </w:rPr>
        <w:t xml:space="preserve">управляющий </w:t>
      </w:r>
      <w:r>
        <w:rPr>
          <w:rFonts w:ascii="Times New Roman" w:hAnsi="Times New Roman" w:cs="Times New Roman"/>
          <w:color w:val="1A1A1A"/>
          <w:sz w:val="24"/>
          <w:szCs w:val="24"/>
          <w:shd w:val="clear" w:fill="FFFFFF" w:color="FFFFFF"/>
        </w:rPr>
        <w:t xml:space="preserve">ООО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«Камнеобрабатывающий завод «Кузнечное» -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Фахрутдинов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Равиль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Курбанович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;</w:t>
      </w:r>
      <w:r/>
    </w:p>
    <w:p>
      <w:pPr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В зале присутств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овали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руководители структурных организаций и учреждений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  <w:t xml:space="preserve">поселка Кузнечное.</w:t>
      </w:r>
      <w:r/>
    </w:p>
    <w:p>
      <w:pPr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A1A1A"/>
          <w:sz w:val="24"/>
          <w:szCs w:val="24"/>
          <w:lang w:eastAsia="ru-RU"/>
        </w:rPr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314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тановлений и 257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распоряжений.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Входящих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исем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документов принято – 1856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исх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одящей документации – 1651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прошедший период в администра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цию поступило 61 письменн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обращени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жителей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Данные обращения были разъяснены и отработаны.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fill="F6F6F6" w:color="F6F6F6"/>
        </w:rPr>
        <w:t xml:space="preserve">Проведено 10 заседаний Совета депутатов, рассмотрено и принято 50 решени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fill="F6F6F6" w:color="F6F6F6"/>
        </w:rPr>
        <w:t xml:space="preserve">й, из них 29</w:t>
      </w:r>
      <w:r>
        <w:rPr>
          <w:rFonts w:ascii="Times New Roman" w:hAnsi="Times New Roman" w:cs="Times New Roman"/>
          <w:color w:val="1A1A1A"/>
          <w:sz w:val="24"/>
          <w:szCs w:val="24"/>
          <w:shd w:val="clear" w:fill="FFFFFF" w:color="FFFFFF"/>
        </w:rPr>
        <w:t xml:space="preserve"> нормативно-правовых актов.</w:t>
      </w:r>
      <w:r>
        <w:rPr>
          <w:rFonts w:ascii="Times New Roman" w:hAnsi="Times New Roman" w:cs="Times New Roman"/>
          <w:sz w:val="24"/>
          <w:szCs w:val="24"/>
        </w:rPr>
        <w:t xml:space="preserve"> Созданы и ра</w:t>
      </w:r>
      <w:r>
        <w:rPr>
          <w:rFonts w:ascii="Times New Roman" w:hAnsi="Times New Roman" w:cs="Times New Roman"/>
          <w:sz w:val="24"/>
          <w:szCs w:val="24"/>
        </w:rPr>
        <w:t xml:space="preserve">ботали 3 Инициативных Комиссии.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овершено 164 нотариальных действия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90"/>
        <w:jc w:val="both"/>
        <w:rPr>
          <w:rFonts w:ascii="Times New Roman" w:hAnsi="Times New Roman" w:cs="Times New Roman" w:eastAsia="Calibri"/>
          <w:sz w:val="24"/>
          <w:szCs w:val="24"/>
        </w:rPr>
      </w:pPr>
      <w:r>
        <w:rPr>
          <w:rFonts w:ascii="Times New Roman" w:hAnsi="Times New Roman" w:cs="Times New Roman" w:eastAsia="Calibri"/>
          <w:sz w:val="24"/>
          <w:szCs w:val="24"/>
        </w:rPr>
        <w:t xml:space="preserve">      </w:t>
      </w:r>
      <w:r>
        <w:rPr>
          <w:rFonts w:ascii="Times New Roman" w:hAnsi="Times New Roman" w:cs="Times New Roman" w:eastAsia="Calibri"/>
          <w:sz w:val="24"/>
          <w:szCs w:val="24"/>
        </w:rPr>
        <w:t xml:space="preserve">В 2022 г </w:t>
      </w:r>
      <w:r>
        <w:rPr>
          <w:rFonts w:ascii="Times New Roman" w:hAnsi="Times New Roman" w:cs="Times New Roman" w:eastAsia="Calibri"/>
          <w:sz w:val="24"/>
          <w:szCs w:val="24"/>
        </w:rPr>
        <w:t xml:space="preserve">с началом проведения СВО в феврале месяце, на территории Кузнечнинского ГП был создан пункт сбора помощи для участников СВО. С началом проведения частичной мобилизации ведется взаимодействие с мобилизованными и их семьями. </w:t>
      </w:r>
      <w:r/>
    </w:p>
    <w:p>
      <w:pPr>
        <w:pStyle w:val="690"/>
        <w:jc w:val="both"/>
        <w:rPr>
          <w:rFonts w:ascii="Times New Roman" w:hAnsi="Times New Roman" w:cs="Times New Roman"/>
          <w:shd w:val="clear" w:fill="FFFFFF" w:color="FFFFFF"/>
        </w:rPr>
      </w:pPr>
      <w:r>
        <w:rPr>
          <w:rFonts w:ascii="Times New Roman" w:hAnsi="Times New Roman" w:cs="Times New Roman"/>
          <w:shd w:val="clear" w:fill="FFFFFF" w:color="FFFFFF"/>
        </w:rPr>
        <w:t xml:space="preserve"> </w:t>
      </w:r>
      <w:r/>
    </w:p>
    <w:p>
      <w:pPr>
        <w:pStyle w:val="690"/>
        <w:jc w:val="both"/>
        <w:rPr>
          <w:rFonts w:ascii="Times New Roman" w:hAnsi="Times New Roman" w:cs="Times New Roman" w:eastAsia="Calibri"/>
          <w:sz w:val="24"/>
          <w:szCs w:val="24"/>
        </w:rPr>
      </w:pPr>
      <w:r>
        <w:rPr>
          <w:rFonts w:ascii="Times New Roman" w:hAnsi="Times New Roman" w:cs="Times New Roman" w:eastAsia="Calibri"/>
          <w:sz w:val="24"/>
          <w:szCs w:val="24"/>
        </w:rPr>
        <w:t xml:space="preserve"> </w:t>
      </w:r>
      <w:r>
        <w:rPr>
          <w:rFonts w:ascii="Times New Roman" w:hAnsi="Times New Roman" w:cs="Times New Roman" w:eastAsia="Calibri"/>
          <w:sz w:val="24"/>
          <w:szCs w:val="24"/>
        </w:rPr>
        <w:t xml:space="preserve">   </w:t>
      </w:r>
      <w:r>
        <w:rPr>
          <w:rFonts w:ascii="Times New Roman" w:hAnsi="Times New Roman" w:cs="Times New Roman" w:eastAsia="Calibri"/>
          <w:sz w:val="24"/>
          <w:szCs w:val="24"/>
        </w:rPr>
        <w:t xml:space="preserve">Н</w:t>
      </w:r>
      <w:r>
        <w:rPr>
          <w:rFonts w:ascii="Times New Roman" w:hAnsi="Times New Roman" w:cs="Times New Roman" w:eastAsia="Calibri"/>
          <w:sz w:val="24"/>
          <w:szCs w:val="24"/>
        </w:rPr>
        <w:t xml:space="preserve">а 1 января 2023</w:t>
      </w:r>
      <w:r>
        <w:rPr>
          <w:rFonts w:ascii="Times New Roman" w:hAnsi="Times New Roman" w:cs="Times New Roman" w:eastAsia="Calibri"/>
          <w:sz w:val="24"/>
          <w:szCs w:val="24"/>
        </w:rPr>
        <w:t xml:space="preserve"> года</w:t>
      </w:r>
      <w:r>
        <w:rPr>
          <w:rFonts w:ascii="Times New Roman" w:hAnsi="Times New Roman" w:cs="Times New Roman" w:eastAsia="Calibri"/>
          <w:sz w:val="24"/>
          <w:szCs w:val="24"/>
        </w:rPr>
        <w:t xml:space="preserve"> </w:t>
      </w:r>
      <w:r>
        <w:rPr>
          <w:rFonts w:ascii="Times New Roman" w:hAnsi="Times New Roman" w:cs="Times New Roman" w:eastAsia="Calibri"/>
          <w:sz w:val="24"/>
          <w:szCs w:val="24"/>
        </w:rPr>
        <w:t xml:space="preserve">численность населения </w:t>
      </w:r>
      <w:r>
        <w:rPr>
          <w:rFonts w:ascii="Times New Roman" w:hAnsi="Times New Roman" w:cs="Times New Roman" w:eastAsia="Calibri"/>
          <w:sz w:val="24"/>
          <w:szCs w:val="24"/>
        </w:rPr>
        <w:t xml:space="preserve">составила 4012</w:t>
      </w:r>
      <w:r>
        <w:rPr>
          <w:rFonts w:ascii="Times New Roman" w:hAnsi="Times New Roman" w:cs="Times New Roman" w:eastAsia="Calibri"/>
          <w:sz w:val="24"/>
          <w:szCs w:val="24"/>
        </w:rPr>
        <w:t xml:space="preserve"> чел.</w:t>
      </w:r>
      <w:r>
        <w:rPr>
          <w:rFonts w:ascii="Times New Roman" w:hAnsi="Times New Roman" w:cs="Times New Roman" w:eastAsia="Calibri"/>
          <w:sz w:val="24"/>
          <w:szCs w:val="24"/>
        </w:rPr>
        <w:t xml:space="preserve"> </w:t>
      </w:r>
      <w:r>
        <w:rPr>
          <w:rFonts w:ascii="Times New Roman" w:hAnsi="Times New Roman" w:cs="Times New Roman" w:eastAsia="Calibri"/>
          <w:sz w:val="24"/>
          <w:szCs w:val="24"/>
        </w:rPr>
        <w:t xml:space="preserve">Число рожденных за 2022 год 19</w:t>
      </w:r>
      <w:r>
        <w:rPr>
          <w:rFonts w:ascii="Times New Roman" w:hAnsi="Times New Roman" w:cs="Times New Roman" w:eastAsia="Calibri"/>
          <w:sz w:val="24"/>
          <w:szCs w:val="24"/>
        </w:rPr>
        <w:t xml:space="preserve"> чел., </w:t>
      </w:r>
      <w:r>
        <w:rPr>
          <w:rFonts w:ascii="Times New Roman" w:hAnsi="Times New Roman" w:cs="Times New Roman" w:eastAsia="Calibri"/>
          <w:sz w:val="24"/>
          <w:szCs w:val="24"/>
        </w:rPr>
        <w:t xml:space="preserve">умерших</w:t>
      </w:r>
      <w:r>
        <w:rPr>
          <w:rFonts w:ascii="Times New Roman" w:hAnsi="Times New Roman" w:cs="Times New Roman" w:eastAsia="Calibri"/>
          <w:sz w:val="24"/>
          <w:szCs w:val="24"/>
        </w:rPr>
        <w:t xml:space="preserve"> 68</w:t>
      </w:r>
      <w:r>
        <w:rPr>
          <w:rFonts w:ascii="Times New Roman" w:hAnsi="Times New Roman" w:cs="Times New Roman" w:eastAsia="Calibri"/>
          <w:sz w:val="24"/>
          <w:szCs w:val="24"/>
        </w:rPr>
        <w:t xml:space="preserve"> чел. </w:t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Градооб</w:t>
      </w:r>
      <w:r>
        <w:rPr>
          <w:rFonts w:ascii="Times New Roman" w:hAnsi="Times New Roman" w:cs="Times New Roman"/>
          <w:sz w:val="24"/>
          <w:szCs w:val="24"/>
        </w:rPr>
        <w:t xml:space="preserve">разующим предприятием является </w:t>
      </w:r>
      <w:r>
        <w:rPr>
          <w:rFonts w:ascii="Times New Roman" w:hAnsi="Times New Roman" w:cs="Times New Roman"/>
          <w:sz w:val="24"/>
          <w:szCs w:val="24"/>
        </w:rPr>
        <w:t xml:space="preserve">АО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ЛСР.Базовые</w:t>
      </w:r>
      <w:r>
        <w:rPr>
          <w:rFonts w:ascii="Times New Roman" w:hAnsi="Times New Roman" w:cs="Times New Roman"/>
          <w:sz w:val="24"/>
          <w:szCs w:val="24"/>
        </w:rPr>
        <w:t xml:space="preserve"> материалы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. На территории поселения находится </w:t>
      </w:r>
      <w:r>
        <w:rPr>
          <w:rFonts w:ascii="Times New Roman" w:hAnsi="Times New Roman" w:cs="Times New Roman"/>
          <w:sz w:val="24"/>
          <w:szCs w:val="24"/>
        </w:rPr>
        <w:t xml:space="preserve">ООО «</w:t>
      </w:r>
      <w:r>
        <w:rPr>
          <w:rFonts w:ascii="Times New Roman" w:hAnsi="Times New Roman" w:cs="Times New Roman"/>
          <w:sz w:val="24"/>
          <w:szCs w:val="24"/>
        </w:rPr>
        <w:t xml:space="preserve">Камнеобрабатывающий завод «Кузнечное»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форелевое хозяйство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ООО «СХП «КУЗНЕЧНОЕ».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«Детский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сад комбинированного вида № 11»,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УДО</w:t>
      </w:r>
      <w:r>
        <w:rPr>
          <w:rFonts w:ascii="Times New Roman" w:hAnsi="Times New Roman" w:cs="Times New Roman"/>
          <w:sz w:val="24"/>
          <w:szCs w:val="24"/>
        </w:rPr>
        <w:t xml:space="preserve"> «Кузнеч</w:t>
      </w:r>
      <w:r>
        <w:rPr>
          <w:rFonts w:ascii="Times New Roman" w:hAnsi="Times New Roman" w:cs="Times New Roman"/>
          <w:sz w:val="24"/>
          <w:szCs w:val="24"/>
        </w:rPr>
        <w:t xml:space="preserve">енская детская </w:t>
      </w:r>
      <w:r>
        <w:rPr>
          <w:rFonts w:ascii="Times New Roman" w:hAnsi="Times New Roman" w:cs="Times New Roman"/>
          <w:sz w:val="24"/>
          <w:szCs w:val="24"/>
        </w:rPr>
        <w:t xml:space="preserve">школа искусств», МОУ «</w:t>
      </w:r>
      <w:r>
        <w:rPr>
          <w:rFonts w:ascii="Times New Roman" w:hAnsi="Times New Roman" w:cs="Times New Roman"/>
          <w:sz w:val="24"/>
          <w:szCs w:val="24"/>
        </w:rPr>
        <w:t xml:space="preserve">Кузнечен</w:t>
      </w:r>
      <w:r>
        <w:rPr>
          <w:rFonts w:ascii="Times New Roman" w:hAnsi="Times New Roman" w:cs="Times New Roman"/>
          <w:sz w:val="24"/>
          <w:szCs w:val="24"/>
        </w:rPr>
        <w:t xml:space="preserve"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Кузнечн</w:t>
      </w:r>
      <w:r>
        <w:rPr>
          <w:rFonts w:ascii="Times New Roman" w:hAnsi="Times New Roman" w:cs="Times New Roman"/>
          <w:sz w:val="24"/>
          <w:szCs w:val="24"/>
        </w:rPr>
        <w:t xml:space="preserve">енская</w:t>
      </w:r>
      <w:r>
        <w:rPr>
          <w:rFonts w:ascii="Times New Roman" w:hAnsi="Times New Roman" w:cs="Times New Roman"/>
          <w:sz w:val="24"/>
          <w:szCs w:val="24"/>
        </w:rPr>
        <w:t xml:space="preserve"> участковая больница»</w:t>
      </w:r>
      <w:r>
        <w:rPr>
          <w:rFonts w:ascii="Times New Roman" w:hAnsi="Times New Roman" w:cs="Times New Roman"/>
          <w:sz w:val="24"/>
          <w:szCs w:val="24"/>
        </w:rPr>
        <w:t xml:space="preserve">, МКУ КСЦ «Юбилейный», СЦ «Надежда», СЦ «Алмаз»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отделение П</w:t>
      </w:r>
      <w:r>
        <w:rPr>
          <w:rFonts w:ascii="Times New Roman" w:hAnsi="Times New Roman" w:cs="Times New Roman"/>
          <w:sz w:val="24"/>
          <w:szCs w:val="24"/>
        </w:rPr>
        <w:t xml:space="preserve">очт</w:t>
      </w:r>
      <w:r>
        <w:rPr>
          <w:rFonts w:ascii="Times New Roman" w:hAnsi="Times New Roman" w:cs="Times New Roman"/>
          <w:sz w:val="24"/>
          <w:szCs w:val="24"/>
        </w:rPr>
        <w:t xml:space="preserve">ы России</w:t>
      </w:r>
      <w:r>
        <w:rPr>
          <w:rFonts w:ascii="Times New Roman" w:hAnsi="Times New Roman" w:cs="Times New Roman"/>
          <w:sz w:val="24"/>
          <w:szCs w:val="24"/>
        </w:rPr>
        <w:t xml:space="preserve">, отд</w:t>
      </w:r>
      <w:r>
        <w:rPr>
          <w:rFonts w:ascii="Times New Roman" w:hAnsi="Times New Roman" w:cs="Times New Roman"/>
          <w:sz w:val="24"/>
          <w:szCs w:val="24"/>
        </w:rPr>
        <w:t xml:space="preserve">еление Сбербанка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, удаленное рабочее место МФЦ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2 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аптеки,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две бани,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 ветеринарная лечебница.</w:t>
      </w:r>
      <w:r>
        <w:rPr>
          <w:rFonts w:ascii="Times New Roman" w:hAnsi="Times New Roman" w:cs="Times New Roman" w:eastAsia="Times New Roman"/>
          <w:sz w:val="24"/>
          <w:szCs w:val="24"/>
          <w:lang w:val="ru-RU"/>
        </w:rPr>
        <w:t xml:space="preserve"> Также</w:t>
      </w: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территории расположены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10 продуктовых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магазинов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промышленных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6 магазинов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со смешанным ассортиментом товаров, павильоны, киоск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и.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Функционируют сетевые магазины: Пятерочка, Магнит, «Прагматика»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(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великолукский м/к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 выдачи Интернет Магазинов </w:t>
      </w:r>
      <w:r>
        <w:rPr>
          <w:rFonts w:ascii="Times New Roman" w:hAnsi="Times New Roman" w:cs="Times New Roman" w:eastAsia="Times New Roman"/>
          <w:sz w:val="24"/>
          <w:szCs w:val="24"/>
          <w:lang w:val="en-US" w:eastAsia="ru-RU"/>
        </w:rPr>
        <w:t xml:space="preserve">OZON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,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Wildberries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sz w:val="24"/>
          <w:szCs w:val="24"/>
          <w:lang w:val="en-US"/>
        </w:rPr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В 2022 году </w:t>
      </w:r>
      <w:r>
        <w:rPr>
          <w:rFonts w:ascii="Times New Roman" w:hAnsi="Times New Roman" w:cs="Times New Roman"/>
          <w:sz w:val="24"/>
          <w:szCs w:val="24"/>
        </w:rPr>
        <w:t xml:space="preserve">отремонтировано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участков автомобильной дороги общего пользования местного значения.</w:t>
      </w:r>
      <w:r>
        <w:rPr>
          <w:rFonts w:ascii="Times New Roman" w:hAnsi="Times New Roman" w:cs="Times New Roman"/>
          <w:sz w:val="24"/>
          <w:szCs w:val="24"/>
        </w:rPr>
        <w:t xml:space="preserve"> Завершен 2 этап работы по </w:t>
      </w:r>
      <w:r>
        <w:rPr>
          <w:rFonts w:ascii="Times New Roman" w:hAnsi="Times New Roman" w:cs="Times New Roman"/>
          <w:sz w:val="24"/>
          <w:szCs w:val="24"/>
        </w:rPr>
        <w:t xml:space="preserve">благоустройству дворовой территории по ул. Юбилейная д.1,2 и 11,12</w:t>
      </w:r>
      <w:r>
        <w:rPr>
          <w:rFonts w:ascii="Times New Roman" w:hAnsi="Times New Roman" w:cs="Times New Roman"/>
          <w:sz w:val="24"/>
          <w:szCs w:val="24"/>
        </w:rPr>
        <w:t xml:space="preserve">. Проведены работы по благоустройству территории в </w:t>
      </w:r>
      <w:r>
        <w:rPr>
          <w:rFonts w:ascii="Times New Roman" w:hAnsi="Times New Roman" w:cs="Times New Roman"/>
          <w:sz w:val="24"/>
          <w:szCs w:val="24"/>
        </w:rPr>
        <w:t xml:space="preserve">мкр</w:t>
      </w:r>
      <w:r>
        <w:rPr>
          <w:rFonts w:ascii="Times New Roman" w:hAnsi="Times New Roman" w:cs="Times New Roman"/>
          <w:sz w:val="24"/>
          <w:szCs w:val="24"/>
        </w:rPr>
        <w:t xml:space="preserve">. КНИ на месте сноса ДК Алмаз Приозерское шоссе д.2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Проведен ремонт большого зала </w:t>
      </w:r>
      <w:r>
        <w:rPr>
          <w:rFonts w:ascii="Times New Roman" w:hAnsi="Times New Roman" w:cs="Times New Roman"/>
          <w:sz w:val="24"/>
          <w:szCs w:val="24"/>
        </w:rPr>
        <w:t xml:space="preserve">СЦ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Алмаз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ул. Приозерское шоссе д.10а.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Проведены работы по благоустройству прилегающей территории бани в </w:t>
      </w:r>
      <w:r>
        <w:rPr>
          <w:rFonts w:ascii="Times New Roman" w:hAnsi="Times New Roman" w:cs="Times New Roman"/>
          <w:sz w:val="24"/>
          <w:szCs w:val="24"/>
        </w:rPr>
        <w:t xml:space="preserve">мкр</w:t>
      </w:r>
      <w:r>
        <w:rPr>
          <w:rFonts w:ascii="Times New Roman" w:hAnsi="Times New Roman" w:cs="Times New Roman"/>
          <w:sz w:val="24"/>
          <w:szCs w:val="24"/>
        </w:rPr>
        <w:t xml:space="preserve">. Ровное по ул. Молодежная.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В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бане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мкр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.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Ровное отремонтирована кровля и лестница правого крыла. В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бане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мкр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.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КНИ в помывочном отделении произведен косметический ремонт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Проведено устройство покрытия спортивной тренажёрной площадки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мкр</w:t>
      </w:r>
      <w:r>
        <w:rPr>
          <w:rFonts w:ascii="Times New Roman" w:hAnsi="Times New Roman" w:cs="Times New Roman"/>
          <w:sz w:val="24"/>
          <w:szCs w:val="24"/>
        </w:rPr>
        <w:t xml:space="preserve">. КНИ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л. Приозерское шоссе, д. 10а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риобретены и установлены 2 деревянные горки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в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микрорайонах Ровное и КНИ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.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закупка и установка Арт-объекта «Я люблю Кузнечное», вазонов и ограждений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 рамках озеленения территории поселение проведена закупка высадка и уход за цветочными насаждениями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 Произведена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закупка светодиодных светильников для уличного освещения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 В 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елях контроля контейнерны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площад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ки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были оснащены видеонаблюдением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риобретены и установлены малый детский </w:t>
      </w:r>
      <w:r>
        <w:rPr>
          <w:rFonts w:ascii="Times New Roman" w:hAnsi="Times New Roman" w:cs="Times New Roman"/>
          <w:sz w:val="24"/>
          <w:szCs w:val="24"/>
        </w:rPr>
        <w:t xml:space="preserve">игровой комплекс по ул. Садовая, </w:t>
      </w:r>
      <w:r>
        <w:rPr>
          <w:rFonts w:ascii="Times New Roman" w:hAnsi="Times New Roman" w:cs="Times New Roman"/>
          <w:sz w:val="24"/>
          <w:szCs w:val="24"/>
        </w:rPr>
        <w:t xml:space="preserve">ул. Юбилейная и песочницы по у</w:t>
      </w:r>
      <w:r>
        <w:rPr>
          <w:rFonts w:ascii="Times New Roman" w:hAnsi="Times New Roman" w:cs="Times New Roman"/>
          <w:sz w:val="24"/>
          <w:szCs w:val="24"/>
        </w:rPr>
        <w:t xml:space="preserve">л. Садовая, </w:t>
      </w:r>
      <w:r>
        <w:rPr>
          <w:rFonts w:ascii="Times New Roman" w:hAnsi="Times New Roman" w:cs="Times New Roman"/>
          <w:sz w:val="24"/>
          <w:szCs w:val="24"/>
        </w:rPr>
        <w:t xml:space="preserve">ул. Гагарина д. 5, </w:t>
      </w:r>
      <w:r>
        <w:rPr>
          <w:rFonts w:ascii="Times New Roman" w:hAnsi="Times New Roman" w:cs="Times New Roman"/>
          <w:sz w:val="24"/>
          <w:szCs w:val="24"/>
        </w:rPr>
        <w:t xml:space="preserve">Приозерское ш. 11, П</w:t>
      </w:r>
      <w:r>
        <w:rPr>
          <w:rFonts w:ascii="Times New Roman" w:hAnsi="Times New Roman" w:cs="Times New Roman"/>
          <w:sz w:val="24"/>
          <w:szCs w:val="24"/>
        </w:rPr>
        <w:t xml:space="preserve">риозерское ш. 4 и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 xml:space="preserve">Привокзальная</w:t>
      </w:r>
      <w:r>
        <w:rPr>
          <w:rFonts w:ascii="Times New Roman" w:hAnsi="Times New Roman" w:cs="Times New Roman"/>
          <w:sz w:val="24"/>
          <w:szCs w:val="24"/>
        </w:rPr>
        <w:t xml:space="preserve">. П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роведены работы по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устройству покрытия городошной площадки резиновой крошкой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 адре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су ул. Приозерское шоссе д.10а.</w:t>
      </w:r>
      <w:r/>
    </w:p>
    <w:p>
      <w:pPr>
        <w:pStyle w:val="690"/>
        <w:jc w:val="both"/>
        <w:rPr>
          <w:rFonts w:ascii="Times New Roman" w:hAnsi="Times New Roman" w:cs="Times New Roman"/>
          <w:sz w:val="24"/>
          <w:szCs w:val="24"/>
          <w:shd w:val="clear" w:fill="FFFFFF" w:color="FFFFFF"/>
        </w:rPr>
      </w:pP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В целях обеспечения населения качественной горячей водой, администрацией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частично проведена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работа по техническому обследованию централизованной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системы теплоснабжения.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На сегодняшний день данный вопрос остается открытым и требует дальнейшего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решения и проработки, которая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будет проводится в 2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023 г. в межотопительный сезон.</w:t>
      </w:r>
      <w:r/>
    </w:p>
    <w:p>
      <w:pPr>
        <w:jc w:val="both"/>
        <w:rPr>
          <w:rFonts w:ascii="Times New Roman" w:hAnsi="Times New Roman" w:cs="Times New Roman"/>
          <w:sz w:val="24"/>
          <w:szCs w:val="24"/>
          <w:shd w:val="clear" w:fill="FFFFFF" w:color="FFFFFF"/>
        </w:rPr>
      </w:pP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В целях исполнения закона Ленинградской области от 29.12.2015 г. №153-оз, о перераспределении полномочий в сфере водоснабжения и водоотведения между органами государственной власти ЛО и органами местного самоуправлени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я поселений ЛО, Администрацией 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Кузнечнинское ГП была осуществлена передача имущества по водоснабжению и водоотведению в Ленинградский областной Комитет по Управлению Государственным Имуществом. Н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а сегодняшний день ресурсоснабжающей</w:t>
      </w:r>
      <w:r>
        <w:rPr>
          <w:rFonts w:ascii="Times New Roman" w:hAnsi="Times New Roman" w:cs="Times New Roman"/>
          <w:sz w:val="24"/>
          <w:szCs w:val="24"/>
          <w:shd w:val="clear" w:fill="FFFFFF" w:color="FFFFFF"/>
        </w:rPr>
        <w:t xml:space="preserve"> организацией по ВОС и КОС является ГУП «Леноблводоканал».</w:t>
      </w:r>
      <w:r/>
    </w:p>
    <w:p>
      <w:pPr>
        <w:jc w:val="both"/>
        <w:rPr>
          <w:rFonts w:ascii="Times New Roman" w:hAnsi="Times New Roman" w:cs="Times New Roman"/>
          <w:sz w:val="24"/>
          <w:szCs w:val="24"/>
          <w:shd w:val="clear" w:fill="FFFFFF" w:color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В рамках региональной адресной программы «Переселение граждан из аварийного жилищного фонда на территории Ленинградской области в 2019-2025 годах» 1 этап было расселено 19 квартир, 58 человек.</w:t>
      </w:r>
      <w:r/>
    </w:p>
    <w:p>
      <w:pPr>
        <w:pStyle w:val="690"/>
        <w:jc w:val="both"/>
        <w:rPr>
          <w:rFonts w:ascii="Times New Roman" w:hAnsi="Times New Roman" w:cs="Times New Roman" w:eastAsia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false"/>
          <w:sz w:val="24"/>
          <w:szCs w:val="24"/>
        </w:rPr>
        <w:t xml:space="preserve">В течении 2022 года работниками ДК «Юбилейный» проведено 341 культурно-досуговое мероприятие. На сегодняшний день в ДК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работают 10 кружков и 10 любительских объедине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ний.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В 2022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году творческие коллективы ДК стали лауреатами Международных и Всероссийских фестивалей и конкурсов, театральный коллектив завоевал Гран-при.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Появился новый клуб по интересам для ветеранов: «Вязание» гд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е наши ветераны вяжут носки для мобилизованных.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Многие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жители нашего поселка разной возрастной категории активно посещают спортивный центр «Надежда», «Алмаз», крытую многофункциональную площадку. Работают 13 спортивных секций. Было проведено 31 спортивное соревнование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 летний период на базе МКУ КСЦ «Юбилейный» была организована работа трудовых бригад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cs="Times New Roman" w:eastAsia="Times New Roman"/>
        </w:rPr>
      </w:r>
    </w:p>
    <w:p>
      <w:pPr>
        <w:jc w:val="both"/>
        <w:rPr>
          <w:rFonts w:ascii="Times New Roman" w:hAnsi="Times New Roman" w:cs="Times New Roman" w:eastAsia="Calibri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    На территории поселения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существует Совет молодежи,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состоящий из порядка 45 человек, в их числе студенты, ученики старших классов СОШ, рабо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тники ДК, работники предприятий,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которые в свою очередь участвуют в различных акциях и молодежных форумах, в акции «Мы в месте» поздравляют с днём рождения детей мобилизованных, оказывают помощь гражданам.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Волонтерский клуб «Бумеранг доброты» активно участвует в работе ДК, в мероприятиях поселения, района, области, форумах, слетах. 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</w:r>
      <w:r/>
    </w:p>
    <w:p>
      <w:pPr>
        <w:jc w:val="both"/>
        <w:rPr>
          <w:rFonts w:ascii="Times New Roman" w:hAnsi="Times New Roman" w:cs="Times New Roman" w:eastAsia="Calibri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 w:eastAsia="Calibri"/>
          <w:sz w:val="24"/>
          <w:szCs w:val="24"/>
          <w:highlight w:val="none"/>
          <w:lang w:eastAsia="ru-RU"/>
        </w:rPr>
        <w:t xml:space="preserve">    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В 2022 г. важным событием являлось празднование 77-летия Победы в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ВОВ,  проведены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такие мероприятия как : «Бессмертный полк», Митинги на 13 км и у ДК, концертная программа  посвященная Дню Победы,  адресно посетили всех ветеранов с целью вручения благотворительных подарков   от «ЛСР. Базовые» и материальной помощи. </w:t>
      </w:r>
      <w:r/>
      <w:r>
        <w:rPr>
          <w:rFonts w:ascii="Times New Roman" w:hAnsi="Times New Roman" w:cs="Times New Roman" w:eastAsia="Calibri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В школьном музее проведены встречи ветеранов-блокадников по патриотическому воспитанию с учащимися Кузнеченской средней школы.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Совет ветеранов активно участвует в сборе помощи для мобилизованных. </w:t>
      </w:r>
      <w:r/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Наши ветераны-спортсмены участвовали в областных соревнованиях –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второй  зимней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Спартакиаде старшего поколения за Приозерский район. </w:t>
      </w:r>
      <w:r>
        <w:rPr>
          <w:rFonts w:ascii="Times New Roman" w:hAnsi="Times New Roman" w:cs="Times New Roman" w:eastAsia="Calibri"/>
          <w:sz w:val="24"/>
          <w:szCs w:val="24"/>
          <w:lang w:eastAsia="ru-RU"/>
        </w:rPr>
        <w:t xml:space="preserve"> </w:t>
      </w:r>
      <w:r/>
      <w:r>
        <w:rPr>
          <w:rFonts w:ascii="Bookman Old Style" w:hAnsi="Bookman Old Style" w:cs="Times New Roman" w:eastAsia="Times New Roman"/>
          <w:sz w:val="24"/>
          <w:szCs w:val="24"/>
          <w:lang w:eastAsia="ru-RU"/>
        </w:rPr>
      </w:r>
      <w:r/>
    </w:p>
    <w:p>
      <w:pPr>
        <w:pStyle w:val="690"/>
        <w:jc w:val="both"/>
        <w:rPr>
          <w:rFonts w:ascii="Times New Roman" w:hAnsi="Times New Roman" w:cs="Times New Roman"/>
          <w:b w:val="false"/>
          <w:sz w:val="24"/>
          <w:szCs w:val="26"/>
        </w:rPr>
      </w:pPr>
      <w:r>
        <w:rPr>
          <w:rFonts w:ascii="Times New Roman" w:hAnsi="Times New Roman" w:cs="Times New Roman" w:eastAsia="Calibri"/>
          <w:sz w:val="24"/>
          <w:szCs w:val="24"/>
          <w:highlight w:val="none"/>
          <w:lang w:eastAsia="ru-RU"/>
        </w:rPr>
        <w:t xml:space="preserve">    В планах на 2023 год у администрации Кузнечнинского городского поселен</w:t>
      </w:r>
      <w:r>
        <w:rPr>
          <w:rFonts w:ascii="Times New Roman" w:hAnsi="Times New Roman" w:cs="Times New Roman" w:eastAsia="Calibri"/>
          <w:sz w:val="24"/>
          <w:szCs w:val="24"/>
          <w:highlight w:val="none"/>
          <w:lang w:eastAsia="ru-RU"/>
        </w:rPr>
        <w:t xml:space="preserve">ия 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ремонт участка автомобильной дороги 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общего по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льзования местного значения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по ул.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i w:val="false"/>
          <w:sz w:val="24"/>
          <w:szCs w:val="26"/>
        </w:rPr>
        <w:t xml:space="preserve">Юбилейная</w:t>
      </w:r>
      <w:r>
        <w:rPr>
          <w:rFonts w:ascii="Times New Roman" w:hAnsi="Times New Roman" w:cs="Times New Roman" w:eastAsia="Calibri"/>
          <w:i w:val="false"/>
          <w:sz w:val="24"/>
          <w:szCs w:val="24"/>
          <w:highlight w:val="none"/>
          <w:lang w:eastAsia="ru-RU"/>
        </w:rPr>
        <w:t xml:space="preserve">, 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ремонт участка автомобильной дороги общего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 польз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ования местного значения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по ул.  </w:t>
      </w:r>
      <w:r>
        <w:rPr>
          <w:rFonts w:ascii="Times New Roman" w:hAnsi="Times New Roman" w:cs="Times New Roman"/>
          <w:i w:val="false"/>
          <w:sz w:val="24"/>
          <w:szCs w:val="26"/>
        </w:rPr>
        <w:t xml:space="preserve">Приозерское шоссе от д.8а</w:t>
      </w:r>
      <w:r>
        <w:rPr>
          <w:rFonts w:ascii="Times New Roman" w:hAnsi="Times New Roman" w:cs="Times New Roman" w:eastAsia="Calibri"/>
          <w:i w:val="false"/>
          <w:sz w:val="24"/>
          <w:szCs w:val="24"/>
          <w:highlight w:val="none"/>
          <w:lang w:eastAsia="ru-RU"/>
        </w:rPr>
        <w:t xml:space="preserve">, 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разработка программы Комплексное развитие транспортной инфраструктуры</w:t>
      </w:r>
      <w:r>
        <w:rPr>
          <w:rFonts w:ascii="Times New Roman" w:hAnsi="Times New Roman" w:cs="Times New Roman" w:eastAsia="Calibri"/>
          <w:i w:val="false"/>
          <w:sz w:val="24"/>
          <w:szCs w:val="24"/>
          <w:highlight w:val="none"/>
          <w:lang w:eastAsia="ru-RU"/>
        </w:rPr>
        <w:t xml:space="preserve">. </w:t>
      </w:r>
      <w:r>
        <w:rPr>
          <w:rFonts w:ascii="Times New Roman" w:hAnsi="Times New Roman" w:cs="Times New Roman"/>
          <w:b w:val="false"/>
          <w:sz w:val="24"/>
          <w:szCs w:val="28"/>
          <w:u w:val="none"/>
        </w:rPr>
        <w:t xml:space="preserve">Замена участка тепловых сетей между Котельной №1 и Узел №1 </w:t>
      </w:r>
      <w:r>
        <w:rPr>
          <w:rFonts w:ascii="Times New Roman" w:hAnsi="Times New Roman" w:cs="Times New Roman"/>
          <w:b w:val="false"/>
          <w:sz w:val="24"/>
          <w:szCs w:val="28"/>
          <w:u w:val="none"/>
        </w:rPr>
        <w:t xml:space="preserve">мкр</w:t>
      </w:r>
      <w:r>
        <w:rPr>
          <w:rFonts w:ascii="Times New Roman" w:hAnsi="Times New Roman" w:cs="Times New Roman"/>
          <w:b w:val="false"/>
          <w:sz w:val="24"/>
          <w:szCs w:val="28"/>
          <w:u w:val="none"/>
        </w:rPr>
        <w:t xml:space="preserve">. Ровное</w:t>
      </w:r>
      <w:r>
        <w:rPr>
          <w:rFonts w:ascii="Times New Roman" w:hAnsi="Times New Roman" w:cs="Times New Roman"/>
          <w:b w:val="false"/>
          <w:sz w:val="24"/>
          <w:szCs w:val="28"/>
          <w:u w:val="none"/>
        </w:rPr>
        <w:t xml:space="preserve">, находящиеся в аварийном состоянии.</w:t>
      </w:r>
      <w:r>
        <w:rPr>
          <w:rFonts w:ascii="Times New Roman" w:hAnsi="Times New Roman" w:cs="Times New Roman" w:eastAsia="Calibri"/>
          <w:i w:val="false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Закупка автономного источника элек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троснабжения (дизель-ген.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) ДГУ-400 кВт. </w:t>
      </w:r>
      <w:r>
        <w:rPr>
          <w:rFonts w:ascii="Times New Roman" w:hAnsi="Times New Roman" w:cs="Times New Roman" w:eastAsia="Times New Roman"/>
          <w:b w:val="false"/>
          <w:sz w:val="24"/>
          <w:szCs w:val="26"/>
        </w:rPr>
        <w:t xml:space="preserve">Разработка </w:t>
      </w:r>
      <w:r>
        <w:rPr>
          <w:rFonts w:ascii="Times New Roman" w:hAnsi="Times New Roman" w:cs="Times New Roman" w:eastAsia="Times New Roman"/>
          <w:b w:val="false"/>
          <w:sz w:val="24"/>
          <w:szCs w:val="26"/>
        </w:rPr>
        <w:t xml:space="preserve">программы  Энергосбережение</w:t>
      </w:r>
      <w:r>
        <w:rPr>
          <w:rFonts w:ascii="Times New Roman" w:hAnsi="Times New Roman" w:cs="Times New Roman" w:eastAsia="Times New Roman"/>
          <w:b w:val="false"/>
          <w:sz w:val="24"/>
          <w:szCs w:val="26"/>
        </w:rPr>
        <w:t xml:space="preserve"> и повышение ЭЭ</w:t>
      </w:r>
      <w:r>
        <w:rPr>
          <w:rFonts w:ascii="Times New Roman" w:hAnsi="Times New Roman" w:cs="Times New Roman" w:eastAsia="Times New Roman"/>
          <w:b w:val="false"/>
          <w:i w:val="false"/>
          <w:sz w:val="24"/>
          <w:szCs w:val="24"/>
          <w:highlight w:val="none"/>
          <w:lang w:eastAsia="ru-RU"/>
        </w:rPr>
        <w:t xml:space="preserve">. 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Разработка программы Комплексное развитие системы коммунальной инфраструктуры. 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Актуализация Схемы теплоснабжения + разработка модулирования. 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Актуализация Схемы Водоснабжения и Водоотведения.</w:t>
      </w:r>
      <w:r>
        <w:rPr>
          <w:rFonts w:ascii="Times New Roman" w:hAnsi="Times New Roman" w:cs="Times New Roman" w:eastAsia="Times New Roman"/>
          <w:b w:val="false"/>
          <w:i w:val="false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Приобретение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 и поставка 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светоди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одных светильников для </w:t>
      </w:r>
      <w:r>
        <w:rPr>
          <w:rFonts w:ascii="Times New Roman" w:hAnsi="Times New Roman" w:cs="Times New Roman" w:eastAsia="Times New Roman"/>
          <w:b w:val="false"/>
          <w:sz w:val="24"/>
          <w:szCs w:val="28"/>
          <w:shd w:val="clear" w:fill="FFFFFF" w:color="FFFFFF"/>
        </w:rPr>
        <w:t xml:space="preserve">уличного освещения</w:t>
      </w:r>
      <w:r>
        <w:rPr>
          <w:rFonts w:ascii="Times New Roman" w:hAnsi="Times New Roman" w:cs="Times New Roman" w:eastAsia="Times New Roman"/>
          <w:b w:val="false"/>
          <w:i w:val="false"/>
          <w:sz w:val="24"/>
          <w:szCs w:val="24"/>
          <w:highlight w:val="none"/>
          <w:lang w:eastAsia="ru-RU"/>
        </w:rPr>
        <w:t xml:space="preserve">. </w:t>
      </w:r>
      <w:r>
        <w:rPr>
          <w:rFonts w:ascii="Times New Roman" w:hAnsi="Times New Roman" w:cs="Times New Roman"/>
          <w:b w:val="false"/>
          <w:bCs/>
          <w:sz w:val="24"/>
          <w:szCs w:val="26"/>
          <w:u w:val="none"/>
        </w:rPr>
        <w:t xml:space="preserve">Запланирована </w:t>
      </w:r>
      <w:r>
        <w:rPr>
          <w:rFonts w:ascii="Times New Roman" w:hAnsi="Times New Roman" w:cs="Times New Roman"/>
          <w:b w:val="false"/>
          <w:bCs/>
          <w:sz w:val="24"/>
          <w:szCs w:val="26"/>
          <w:u w:val="none"/>
        </w:rPr>
        <w:t xml:space="preserve">р</w:t>
      </w:r>
      <w:r>
        <w:rPr>
          <w:rFonts w:ascii="Times New Roman" w:hAnsi="Times New Roman" w:cs="Times New Roman"/>
          <w:b w:val="false"/>
          <w:bCs/>
          <w:sz w:val="24"/>
          <w:szCs w:val="26"/>
          <w:u w:val="none"/>
        </w:rPr>
        <w:t xml:space="preserve">азработка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 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 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Проект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а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 + установка освещения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 в Боровом</w:t>
      </w:r>
      <w:r>
        <w:rPr>
          <w:rFonts w:ascii="Times New Roman" w:hAnsi="Times New Roman" w:cs="Times New Roman"/>
          <w:b w:val="false"/>
          <w:sz w:val="24"/>
          <w:szCs w:val="26"/>
          <w:u w:val="none"/>
        </w:rPr>
        <w:t xml:space="preserve"> ул. Береговая</w:t>
      </w:r>
      <w:r>
        <w:rPr>
          <w:rFonts w:ascii="Times New Roman" w:hAnsi="Times New Roman" w:cs="Times New Roman" w:eastAsia="Times New Roman"/>
          <w:b w:val="false"/>
          <w:i w:val="false"/>
          <w:sz w:val="24"/>
          <w:szCs w:val="24"/>
          <w:highlight w:val="none"/>
          <w:lang w:eastAsia="ru-RU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Обустройство зон отдыха по адресу: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КНИ -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ул.Приозерское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шоссе,  д.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1,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Ровное - 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ул.Юбил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ейная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,  д.</w:t>
      </w:r>
      <w:r>
        <w:rPr>
          <w:rFonts w:ascii="Times New Roman" w:hAnsi="Times New Roman" w:cs="Times New Roman" w:eastAsia="Times New Roman"/>
          <w:color w:val="000000"/>
          <w:sz w:val="24"/>
          <w:szCs w:val="28"/>
          <w:shd w:val="clear" w:fill="FFFFFF" w:color="FFFFFF"/>
          <w:lang w:eastAsia="ru-RU"/>
        </w:rPr>
        <w:t xml:space="preserve"> 1 и 11</w:t>
      </w:r>
      <w:r>
        <w:rPr>
          <w:sz w:val="24"/>
        </w:rPr>
        <w:t xml:space="preserve">. </w:t>
      </w:r>
      <w:r>
        <w:rPr>
          <w:rFonts w:ascii="Times New Roman" w:hAnsi="Times New Roman" w:cs="Times New Roman" w:eastAsia="Times New Roman"/>
          <w:bCs/>
          <w:sz w:val="24"/>
          <w:szCs w:val="28"/>
        </w:rPr>
        <w:t xml:space="preserve">Продолжать работы по переселению граждан из аварийного жилищного фонда, где предусмотрен</w:t>
      </w:r>
      <w:r>
        <w:rPr>
          <w:rFonts w:ascii="Times New Roman" w:hAnsi="Times New Roman" w:cs="Times New Roman" w:eastAsia="Times New Roman"/>
          <w:bCs/>
          <w:sz w:val="24"/>
          <w:szCs w:val="28"/>
        </w:rPr>
        <w:t xml:space="preserve">ы средства</w:t>
      </w:r>
      <w:r>
        <w:rPr>
          <w:rFonts w:ascii="Times New Roman" w:hAnsi="Times New Roman" w:cs="Times New Roman" w:eastAsia="Times New Roman"/>
          <w:b w:val="false"/>
          <w:i w:val="false"/>
          <w:sz w:val="24"/>
          <w:szCs w:val="28"/>
          <w:u w:val="none"/>
        </w:rPr>
        <w:t xml:space="preserve">. 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Также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 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 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Будет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 произведен снос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 аварийных домов</w:t>
      </w:r>
      <w:r>
        <w:rPr>
          <w:rFonts w:ascii="Times New Roman" w:hAnsi="Times New Roman" w:cs="Times New Roman"/>
          <w:b w:val="false"/>
          <w:sz w:val="24"/>
          <w:szCs w:val="26"/>
        </w:rPr>
        <w:t xml:space="preserve"> после расселения </w:t>
      </w:r>
      <w:r>
        <w:rPr>
          <w:b w:val="false"/>
          <w:sz w:val="24"/>
        </w:rPr>
      </w:r>
      <w:r>
        <w:rPr>
          <w:rFonts w:ascii="Times New Roman" w:hAnsi="Times New Roman" w:cs="Times New Roman"/>
          <w:sz w:val="24"/>
          <w:szCs w:val="26"/>
        </w:rPr>
        <w:t xml:space="preserve">по адресу ул. Привокзальная д.1/51, ул. Пионерская 4,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color w:val="000000"/>
          <w:sz w:val="24"/>
          <w:szCs w:val="28"/>
          <w:u w:val="none"/>
        </w:rPr>
      </w:pPr>
      <w:r/>
    </w:p>
    <w:p>
      <w:pPr>
        <w:pStyle w:val="690"/>
        <w:ind w:left="0"/>
        <w:jc w:val="both"/>
        <w:tabs>
          <w:tab w:val="left" w:pos="68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8"/>
          <w:highlight w:val="yellow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851" w:right="851" w:bottom="249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B0503020202020204"/>
  </w:font>
  <w:font w:name="Bookman Old Style">
    <w:panose1 w:val="02050604050505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4"/>
      <w:numFmt w:val="decimalZero"/>
      <w:isLgl w:val="false"/>
      <w:suff w:val="tab"/>
      <w:lvlText w:val="%1"/>
      <w:lvlJc w:val="left"/>
      <w:pPr>
        <w:ind w:left="915" w:hanging="555"/>
        <w:tabs>
          <w:tab w:val="num" w:pos="91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360" w:hanging="360"/>
      </w:pPr>
      <w:rPr>
        <w:rFonts w:ascii="Roboto" w:hAnsi="Roboto" w:cs="Calibri" w:hint="default"/>
        <w:color w:val="334059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10"/>
  </w:num>
  <w:num w:numId="5">
    <w:abstractNumId w:val="17"/>
  </w:num>
  <w:num w:numId="6">
    <w:abstractNumId w:val="17"/>
  </w:num>
  <w:num w:numId="7">
    <w:abstractNumId w:val="18"/>
  </w:num>
  <w:num w:numId="8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14"/>
  </w:num>
  <w:num w:numId="13">
    <w:abstractNumId w:val="25"/>
  </w:num>
  <w:num w:numId="14">
    <w:abstractNumId w:val="9"/>
  </w:num>
  <w:num w:numId="15">
    <w:abstractNumId w:val="15"/>
  </w:num>
  <w:num w:numId="16">
    <w:abstractNumId w:val="0"/>
  </w:num>
  <w:num w:numId="17">
    <w:abstractNumId w:val="11"/>
  </w:num>
  <w:num w:numId="18">
    <w:abstractNumId w:val="2"/>
  </w:num>
  <w:num w:numId="19">
    <w:abstractNumId w:val="8"/>
  </w:num>
  <w:num w:numId="20">
    <w:abstractNumId w:val="23"/>
  </w:num>
  <w:num w:numId="21">
    <w:abstractNumId w:val="13"/>
  </w:num>
  <w:num w:numId="22">
    <w:abstractNumId w:val="3"/>
  </w:num>
  <w:num w:numId="23">
    <w:abstractNumId w:val="6"/>
  </w:num>
  <w:num w:numId="24">
    <w:abstractNumId w:val="7"/>
  </w:num>
  <w:num w:numId="25">
    <w:abstractNumId w:val="1"/>
  </w:num>
  <w:num w:numId="26">
    <w:abstractNumId w:val="5"/>
  </w:num>
  <w:num w:numId="27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510">
    <w:name w:val="Heading 1"/>
    <w:basedOn w:val="682"/>
    <w:next w:val="682"/>
    <w:link w:val="51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511">
    <w:name w:val="Heading 1 Char"/>
    <w:basedOn w:val="683"/>
    <w:link w:val="510"/>
    <w:uiPriority w:val="9"/>
    <w:rPr>
      <w:rFonts w:ascii="Arial" w:hAnsi="Arial" w:cs="Arial" w:eastAsia="Arial"/>
      <w:sz w:val="40"/>
      <w:szCs w:val="40"/>
    </w:rPr>
  </w:style>
  <w:style w:type="paragraph" w:styleId="512">
    <w:name w:val="Heading 2"/>
    <w:basedOn w:val="682"/>
    <w:next w:val="682"/>
    <w:link w:val="51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513">
    <w:name w:val="Heading 2 Char"/>
    <w:basedOn w:val="683"/>
    <w:link w:val="512"/>
    <w:uiPriority w:val="9"/>
    <w:rPr>
      <w:rFonts w:ascii="Arial" w:hAnsi="Arial" w:cs="Arial" w:eastAsia="Arial"/>
      <w:sz w:val="34"/>
    </w:rPr>
  </w:style>
  <w:style w:type="paragraph" w:styleId="514">
    <w:name w:val="Heading 3"/>
    <w:basedOn w:val="682"/>
    <w:next w:val="682"/>
    <w:link w:val="51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515">
    <w:name w:val="Heading 3 Char"/>
    <w:basedOn w:val="683"/>
    <w:link w:val="514"/>
    <w:uiPriority w:val="9"/>
    <w:rPr>
      <w:rFonts w:ascii="Arial" w:hAnsi="Arial" w:cs="Arial" w:eastAsia="Arial"/>
      <w:sz w:val="30"/>
      <w:szCs w:val="30"/>
    </w:rPr>
  </w:style>
  <w:style w:type="paragraph" w:styleId="516">
    <w:name w:val="Heading 4"/>
    <w:basedOn w:val="682"/>
    <w:next w:val="682"/>
    <w:link w:val="51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517">
    <w:name w:val="Heading 4 Char"/>
    <w:basedOn w:val="683"/>
    <w:link w:val="516"/>
    <w:uiPriority w:val="9"/>
    <w:rPr>
      <w:rFonts w:ascii="Arial" w:hAnsi="Arial" w:cs="Arial" w:eastAsia="Arial"/>
      <w:b/>
      <w:bCs/>
      <w:sz w:val="26"/>
      <w:szCs w:val="26"/>
    </w:rPr>
  </w:style>
  <w:style w:type="paragraph" w:styleId="518">
    <w:name w:val="Heading 5"/>
    <w:basedOn w:val="682"/>
    <w:next w:val="682"/>
    <w:link w:val="51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519">
    <w:name w:val="Heading 5 Char"/>
    <w:basedOn w:val="683"/>
    <w:link w:val="518"/>
    <w:uiPriority w:val="9"/>
    <w:rPr>
      <w:rFonts w:ascii="Arial" w:hAnsi="Arial" w:cs="Arial" w:eastAsia="Arial"/>
      <w:b/>
      <w:bCs/>
      <w:sz w:val="24"/>
      <w:szCs w:val="24"/>
    </w:rPr>
  </w:style>
  <w:style w:type="paragraph" w:styleId="520">
    <w:name w:val="Heading 6"/>
    <w:basedOn w:val="682"/>
    <w:next w:val="682"/>
    <w:link w:val="52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521">
    <w:name w:val="Heading 6 Char"/>
    <w:basedOn w:val="683"/>
    <w:link w:val="520"/>
    <w:uiPriority w:val="9"/>
    <w:rPr>
      <w:rFonts w:ascii="Arial" w:hAnsi="Arial" w:cs="Arial" w:eastAsia="Arial"/>
      <w:b/>
      <w:bCs/>
      <w:sz w:val="22"/>
      <w:szCs w:val="22"/>
    </w:rPr>
  </w:style>
  <w:style w:type="paragraph" w:styleId="522">
    <w:name w:val="Heading 7"/>
    <w:basedOn w:val="682"/>
    <w:next w:val="682"/>
    <w:link w:val="52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523">
    <w:name w:val="Heading 7 Char"/>
    <w:basedOn w:val="683"/>
    <w:link w:val="52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524">
    <w:name w:val="Heading 8"/>
    <w:basedOn w:val="682"/>
    <w:next w:val="682"/>
    <w:link w:val="52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525">
    <w:name w:val="Heading 8 Char"/>
    <w:basedOn w:val="683"/>
    <w:link w:val="524"/>
    <w:uiPriority w:val="9"/>
    <w:rPr>
      <w:rFonts w:ascii="Arial" w:hAnsi="Arial" w:cs="Arial" w:eastAsia="Arial"/>
      <w:i/>
      <w:iCs/>
      <w:sz w:val="22"/>
      <w:szCs w:val="22"/>
    </w:rPr>
  </w:style>
  <w:style w:type="paragraph" w:styleId="526">
    <w:name w:val="Heading 9"/>
    <w:basedOn w:val="682"/>
    <w:next w:val="682"/>
    <w:link w:val="5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527">
    <w:name w:val="Heading 9 Char"/>
    <w:basedOn w:val="683"/>
    <w:link w:val="526"/>
    <w:uiPriority w:val="9"/>
    <w:rPr>
      <w:rFonts w:ascii="Arial" w:hAnsi="Arial" w:cs="Arial" w:eastAsia="Arial"/>
      <w:i/>
      <w:iCs/>
      <w:sz w:val="21"/>
      <w:szCs w:val="21"/>
    </w:rPr>
  </w:style>
  <w:style w:type="paragraph" w:styleId="528">
    <w:name w:val="Title"/>
    <w:basedOn w:val="682"/>
    <w:next w:val="682"/>
    <w:link w:val="52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529">
    <w:name w:val="Title Char"/>
    <w:basedOn w:val="683"/>
    <w:link w:val="528"/>
    <w:uiPriority w:val="10"/>
    <w:rPr>
      <w:sz w:val="48"/>
      <w:szCs w:val="48"/>
    </w:rPr>
  </w:style>
  <w:style w:type="paragraph" w:styleId="530">
    <w:name w:val="Subtitle"/>
    <w:basedOn w:val="682"/>
    <w:next w:val="682"/>
    <w:link w:val="531"/>
    <w:qFormat/>
    <w:uiPriority w:val="11"/>
    <w:rPr>
      <w:sz w:val="24"/>
      <w:szCs w:val="24"/>
    </w:rPr>
    <w:pPr>
      <w:spacing w:after="200" w:before="200"/>
    </w:pPr>
  </w:style>
  <w:style w:type="character" w:styleId="531">
    <w:name w:val="Subtitle Char"/>
    <w:basedOn w:val="683"/>
    <w:link w:val="530"/>
    <w:uiPriority w:val="11"/>
    <w:rPr>
      <w:sz w:val="24"/>
      <w:szCs w:val="24"/>
    </w:rPr>
  </w:style>
  <w:style w:type="paragraph" w:styleId="532">
    <w:name w:val="Quote"/>
    <w:basedOn w:val="682"/>
    <w:next w:val="682"/>
    <w:link w:val="533"/>
    <w:qFormat/>
    <w:uiPriority w:val="29"/>
    <w:rPr>
      <w:i/>
    </w:rPr>
    <w:pPr>
      <w:ind w:left="720" w:right="720"/>
    </w:pPr>
  </w:style>
  <w:style w:type="character" w:styleId="533">
    <w:name w:val="Quote Char"/>
    <w:link w:val="532"/>
    <w:uiPriority w:val="29"/>
    <w:rPr>
      <w:i/>
    </w:rPr>
  </w:style>
  <w:style w:type="paragraph" w:styleId="534">
    <w:name w:val="Intense Quote"/>
    <w:basedOn w:val="682"/>
    <w:next w:val="682"/>
    <w:link w:val="535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35">
    <w:name w:val="Intense Quote Char"/>
    <w:link w:val="534"/>
    <w:uiPriority w:val="30"/>
    <w:rPr>
      <w:i/>
    </w:rPr>
  </w:style>
  <w:style w:type="character" w:styleId="536">
    <w:name w:val="Header Char"/>
    <w:basedOn w:val="683"/>
    <w:link w:val="692"/>
    <w:uiPriority w:val="99"/>
  </w:style>
  <w:style w:type="character" w:styleId="537">
    <w:name w:val="Footer Char"/>
    <w:basedOn w:val="683"/>
    <w:link w:val="694"/>
    <w:uiPriority w:val="99"/>
  </w:style>
  <w:style w:type="paragraph" w:styleId="538">
    <w:name w:val="Caption"/>
    <w:basedOn w:val="682"/>
    <w:next w:val="68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39">
    <w:name w:val="Caption Char"/>
    <w:basedOn w:val="538"/>
    <w:link w:val="694"/>
    <w:uiPriority w:val="99"/>
  </w:style>
  <w:style w:type="table" w:styleId="540">
    <w:name w:val="Table Grid Light"/>
    <w:basedOn w:val="68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41">
    <w:name w:val="Plain Table 1"/>
    <w:basedOn w:val="68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42">
    <w:name w:val="Plain Table 2"/>
    <w:basedOn w:val="68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43">
    <w:name w:val="Plain Table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4">
    <w:name w:val="Plain Table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Plain Table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46">
    <w:name w:val="Grid Table 1 Light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>
    <w:name w:val="Grid Table 1 Light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>
    <w:name w:val="Grid Table 1 Light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>
    <w:name w:val="Grid Table 1 Light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Grid Table 1 Light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Grid Table 1 Light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Grid Table 1 Light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Grid Table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54">
    <w:name w:val="Grid Table 2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55">
    <w:name w:val="Grid Table 2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6">
    <w:name w:val="Grid Table 2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7">
    <w:name w:val="Grid Table 2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8">
    <w:name w:val="Grid Table 2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9">
    <w:name w:val="Grid Table 2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60">
    <w:name w:val="Grid Table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1">
    <w:name w:val="Grid Table 3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2">
    <w:name w:val="Grid Table 3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3">
    <w:name w:val="Grid Table 3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4">
    <w:name w:val="Grid Table 3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5">
    <w:name w:val="Grid Table 3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6">
    <w:name w:val="Grid Table 3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7">
    <w:name w:val="Grid Table 4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8">
    <w:name w:val="Grid Table 4 - Accent 1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69">
    <w:name w:val="Grid Table 4 - Accent 2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70">
    <w:name w:val="Grid Table 4 - Accent 3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71">
    <w:name w:val="Grid Table 4 - Accent 4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72">
    <w:name w:val="Grid Table 4 - Accent 5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73">
    <w:name w:val="Grid Table 4 - Accent 6"/>
    <w:basedOn w:val="68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74">
    <w:name w:val="Grid Table 5 Dark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75">
    <w:name w:val="Grid Table 5 Dark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76">
    <w:name w:val="Grid Table 5 Dark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77">
    <w:name w:val="Grid Table 5 Dark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78">
    <w:name w:val="Grid Table 5 Dark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79">
    <w:name w:val="Grid Table 5 Dark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80">
    <w:name w:val="Grid Table 5 Dark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81">
    <w:name w:val="Grid Table 6 Colorful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82">
    <w:name w:val="Grid Table 6 Colorful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83">
    <w:name w:val="Grid Table 6 Colorful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84">
    <w:name w:val="Grid Table 6 Colorful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85">
    <w:name w:val="Grid Table 6 Colorful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86">
    <w:name w:val="Grid Table 6 Colorful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87">
    <w:name w:val="Grid Table 6 Colorful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88">
    <w:name w:val="Grid Table 7 Colorful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9">
    <w:name w:val="Grid Table 7 Colorful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90">
    <w:name w:val="Grid Table 7 Colorful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91">
    <w:name w:val="Grid Table 7 Colorful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92">
    <w:name w:val="Grid Table 7 Colorful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93">
    <w:name w:val="Grid Table 7 Colorful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94">
    <w:name w:val="Grid Table 7 Colorful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95">
    <w:name w:val="List Table 1 Light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96">
    <w:name w:val="List Table 1 Light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7">
    <w:name w:val="List Table 1 Light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8">
    <w:name w:val="List Table 1 Light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9">
    <w:name w:val="List Table 1 Light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600">
    <w:name w:val="List Table 1 Light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01">
    <w:name w:val="List Table 1 Light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02">
    <w:name w:val="List Table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603">
    <w:name w:val="List Table 2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604">
    <w:name w:val="List Table 2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605">
    <w:name w:val="List Table 2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606">
    <w:name w:val="List Table 2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607">
    <w:name w:val="List Table 2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608">
    <w:name w:val="List Table 2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609">
    <w:name w:val="List Table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>
    <w:name w:val="List Table 3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>
    <w:name w:val="List Table 3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>
    <w:name w:val="List Table 3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>
    <w:name w:val="List Table 3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>
    <w:name w:val="List Table 3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>
    <w:name w:val="List Table 3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6">
    <w:name w:val="List Table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7">
    <w:name w:val="List Table 4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8">
    <w:name w:val="List Table 4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9">
    <w:name w:val="List Table 4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0">
    <w:name w:val="List Table 4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1">
    <w:name w:val="List Table 4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2">
    <w:name w:val="List Table 4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3">
    <w:name w:val="List Table 5 Dark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24">
    <w:name w:val="List Table 5 Dark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25">
    <w:name w:val="List Table 5 Dark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26">
    <w:name w:val="List Table 5 Dark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27">
    <w:name w:val="List Table 5 Dark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28">
    <w:name w:val="List Table 5 Dark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29">
    <w:name w:val="List Table 5 Dark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30">
    <w:name w:val="List Table 6 Colorful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631">
    <w:name w:val="List Table 6 Colorful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632">
    <w:name w:val="List Table 6 Colorful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633">
    <w:name w:val="List Table 6 Colorful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634">
    <w:name w:val="List Table 6 Colorful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635">
    <w:name w:val="List Table 6 Colorful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636">
    <w:name w:val="List Table 6 Colorful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637">
    <w:name w:val="List Table 7 Colorful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638">
    <w:name w:val="List Table 7 Colorful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639">
    <w:name w:val="List Table 7 Colorful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640">
    <w:name w:val="List Table 7 Colorful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641">
    <w:name w:val="List Table 7 Colorful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642">
    <w:name w:val="List Table 7 Colorful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643">
    <w:name w:val="List Table 7 Colorful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644">
    <w:name w:val="Lined - Accent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45">
    <w:name w:val="Lined - Accent 1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46">
    <w:name w:val="Lined - Accent 2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47">
    <w:name w:val="Lined - Accent 3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48">
    <w:name w:val="Lined - Accent 4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49">
    <w:name w:val="Lined - Accent 5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50">
    <w:name w:val="Lined - Accent 6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51">
    <w:name w:val="Bordered &amp; Lined - Accent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52">
    <w:name w:val="Bordered &amp; Lined - Accent 1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53">
    <w:name w:val="Bordered &amp; Lined - Accent 2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54">
    <w:name w:val="Bordered &amp; Lined - Accent 3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55">
    <w:name w:val="Bordered &amp; Lined - Accent 4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56">
    <w:name w:val="Bordered &amp; Lined - Accent 5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57">
    <w:name w:val="Bordered &amp; Lined - Accent 6"/>
    <w:basedOn w:val="6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58">
    <w:name w:val="Bordered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59">
    <w:name w:val="Bordered - Accent 1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60">
    <w:name w:val="Bordered - Accent 2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61">
    <w:name w:val="Bordered - Accent 3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62">
    <w:name w:val="Bordered - Accent 4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63">
    <w:name w:val="Bordered - Accent 5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64">
    <w:name w:val="Bordered - Accent 6"/>
    <w:basedOn w:val="6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65">
    <w:name w:val="Hyperlink"/>
    <w:uiPriority w:val="99"/>
    <w:unhideWhenUsed/>
    <w:rPr>
      <w:color w:val="0000FF" w:themeColor="hyperlink"/>
      <w:u w:val="single"/>
    </w:rPr>
  </w:style>
  <w:style w:type="paragraph" w:styleId="666">
    <w:name w:val="footnote text"/>
    <w:basedOn w:val="682"/>
    <w:link w:val="667"/>
    <w:uiPriority w:val="99"/>
    <w:semiHidden/>
    <w:unhideWhenUsed/>
    <w:rPr>
      <w:sz w:val="18"/>
    </w:rPr>
    <w:pPr>
      <w:spacing w:lineRule="auto" w:line="240" w:after="40"/>
    </w:pPr>
  </w:style>
  <w:style w:type="character" w:styleId="667">
    <w:name w:val="Footnote Text Char"/>
    <w:link w:val="666"/>
    <w:uiPriority w:val="99"/>
    <w:rPr>
      <w:sz w:val="18"/>
    </w:rPr>
  </w:style>
  <w:style w:type="character" w:styleId="668">
    <w:name w:val="footnote reference"/>
    <w:basedOn w:val="683"/>
    <w:uiPriority w:val="99"/>
    <w:unhideWhenUsed/>
    <w:rPr>
      <w:vertAlign w:val="superscript"/>
    </w:rPr>
  </w:style>
  <w:style w:type="paragraph" w:styleId="669">
    <w:name w:val="endnote text"/>
    <w:basedOn w:val="682"/>
    <w:link w:val="670"/>
    <w:uiPriority w:val="99"/>
    <w:semiHidden/>
    <w:unhideWhenUsed/>
    <w:rPr>
      <w:sz w:val="20"/>
    </w:rPr>
    <w:pPr>
      <w:spacing w:lineRule="auto" w:line="240" w:after="0"/>
    </w:pPr>
  </w:style>
  <w:style w:type="character" w:styleId="670">
    <w:name w:val="Endnote Text Char"/>
    <w:link w:val="669"/>
    <w:uiPriority w:val="99"/>
    <w:rPr>
      <w:sz w:val="20"/>
    </w:rPr>
  </w:style>
  <w:style w:type="character" w:styleId="671">
    <w:name w:val="endnote reference"/>
    <w:basedOn w:val="683"/>
    <w:uiPriority w:val="99"/>
    <w:semiHidden/>
    <w:unhideWhenUsed/>
    <w:rPr>
      <w:vertAlign w:val="superscript"/>
    </w:rPr>
  </w:style>
  <w:style w:type="paragraph" w:styleId="672">
    <w:name w:val="toc 1"/>
    <w:basedOn w:val="682"/>
    <w:next w:val="682"/>
    <w:uiPriority w:val="39"/>
    <w:unhideWhenUsed/>
    <w:pPr>
      <w:ind w:left="0" w:right="0" w:firstLine="0"/>
      <w:spacing w:after="57"/>
    </w:pPr>
  </w:style>
  <w:style w:type="paragraph" w:styleId="673">
    <w:name w:val="toc 2"/>
    <w:basedOn w:val="682"/>
    <w:next w:val="682"/>
    <w:uiPriority w:val="39"/>
    <w:unhideWhenUsed/>
    <w:pPr>
      <w:ind w:left="283" w:right="0" w:firstLine="0"/>
      <w:spacing w:after="57"/>
    </w:pPr>
  </w:style>
  <w:style w:type="paragraph" w:styleId="674">
    <w:name w:val="toc 3"/>
    <w:basedOn w:val="682"/>
    <w:next w:val="682"/>
    <w:uiPriority w:val="39"/>
    <w:unhideWhenUsed/>
    <w:pPr>
      <w:ind w:left="567" w:right="0" w:firstLine="0"/>
      <w:spacing w:after="57"/>
    </w:pPr>
  </w:style>
  <w:style w:type="paragraph" w:styleId="675">
    <w:name w:val="toc 4"/>
    <w:basedOn w:val="682"/>
    <w:next w:val="682"/>
    <w:uiPriority w:val="39"/>
    <w:unhideWhenUsed/>
    <w:pPr>
      <w:ind w:left="850" w:right="0" w:firstLine="0"/>
      <w:spacing w:after="57"/>
    </w:pPr>
  </w:style>
  <w:style w:type="paragraph" w:styleId="676">
    <w:name w:val="toc 5"/>
    <w:basedOn w:val="682"/>
    <w:next w:val="682"/>
    <w:uiPriority w:val="39"/>
    <w:unhideWhenUsed/>
    <w:pPr>
      <w:ind w:left="1134" w:right="0" w:firstLine="0"/>
      <w:spacing w:after="57"/>
    </w:pPr>
  </w:style>
  <w:style w:type="paragraph" w:styleId="677">
    <w:name w:val="toc 6"/>
    <w:basedOn w:val="682"/>
    <w:next w:val="682"/>
    <w:uiPriority w:val="39"/>
    <w:unhideWhenUsed/>
    <w:pPr>
      <w:ind w:left="1417" w:right="0" w:firstLine="0"/>
      <w:spacing w:after="57"/>
    </w:pPr>
  </w:style>
  <w:style w:type="paragraph" w:styleId="678">
    <w:name w:val="toc 7"/>
    <w:basedOn w:val="682"/>
    <w:next w:val="682"/>
    <w:uiPriority w:val="39"/>
    <w:unhideWhenUsed/>
    <w:pPr>
      <w:ind w:left="1701" w:right="0" w:firstLine="0"/>
      <w:spacing w:after="57"/>
    </w:pPr>
  </w:style>
  <w:style w:type="paragraph" w:styleId="679">
    <w:name w:val="toc 8"/>
    <w:basedOn w:val="682"/>
    <w:next w:val="682"/>
    <w:uiPriority w:val="39"/>
    <w:unhideWhenUsed/>
    <w:pPr>
      <w:ind w:left="1984" w:right="0" w:firstLine="0"/>
      <w:spacing w:after="57"/>
    </w:pPr>
  </w:style>
  <w:style w:type="paragraph" w:styleId="680">
    <w:name w:val="toc 9"/>
    <w:basedOn w:val="682"/>
    <w:next w:val="682"/>
    <w:uiPriority w:val="39"/>
    <w:unhideWhenUsed/>
    <w:pPr>
      <w:ind w:left="2268" w:right="0" w:firstLine="0"/>
      <w:spacing w:after="57"/>
    </w:pPr>
  </w:style>
  <w:style w:type="paragraph" w:styleId="681">
    <w:name w:val="TOC Heading"/>
    <w:uiPriority w:val="39"/>
    <w:unhideWhenUsed/>
  </w:style>
  <w:style w:type="paragraph" w:styleId="682" w:default="1">
    <w:name w:val="Normal"/>
    <w:qFormat/>
  </w:style>
  <w:style w:type="character" w:styleId="683" w:default="1">
    <w:name w:val="Default Paragraph Font"/>
    <w:uiPriority w:val="1"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paragraph" w:styleId="686">
    <w:name w:val="List Paragraph"/>
    <w:basedOn w:val="682"/>
    <w:qFormat/>
    <w:uiPriority w:val="34"/>
    <w:pPr>
      <w:contextualSpacing w:val="true"/>
      <w:ind w:left="720"/>
    </w:pPr>
  </w:style>
  <w:style w:type="paragraph" w:styleId="687" w:customStyle="1">
    <w:name w:val="voice vid_4103_15700_263871_623604"/>
    <w:basedOn w:val="682"/>
    <w:rPr>
      <w:rFonts w:ascii="Times New Roman" w:hAnsi="Times New Roman" w:cs="Times New Roman" w:eastAsia="Calibri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paragraph" w:styleId="688">
    <w:name w:val="Balloon Text"/>
    <w:basedOn w:val="682"/>
    <w:link w:val="68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89" w:customStyle="1">
    <w:name w:val="Текст выноски Знак"/>
    <w:basedOn w:val="683"/>
    <w:link w:val="688"/>
    <w:uiPriority w:val="99"/>
    <w:semiHidden/>
    <w:rPr>
      <w:rFonts w:ascii="Tahoma" w:hAnsi="Tahoma" w:cs="Tahoma"/>
      <w:sz w:val="16"/>
      <w:szCs w:val="16"/>
    </w:rPr>
  </w:style>
  <w:style w:type="paragraph" w:styleId="690">
    <w:name w:val="No Spacing"/>
    <w:qFormat/>
    <w:uiPriority w:val="1"/>
    <w:pPr>
      <w:spacing w:lineRule="auto" w:line="240" w:after="0"/>
    </w:pPr>
  </w:style>
  <w:style w:type="table" w:styleId="691">
    <w:name w:val="Table Grid"/>
    <w:basedOn w:val="68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92">
    <w:name w:val="Header"/>
    <w:basedOn w:val="682"/>
    <w:link w:val="693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93" w:customStyle="1">
    <w:name w:val="Верхний колонтитул Знак"/>
    <w:basedOn w:val="683"/>
    <w:link w:val="692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694">
    <w:name w:val="Footer"/>
    <w:basedOn w:val="682"/>
    <w:link w:val="69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95" w:customStyle="1">
    <w:name w:val="Нижний колонтитул Знак"/>
    <w:basedOn w:val="683"/>
    <w:link w:val="694"/>
    <w:uiPriority w:val="99"/>
  </w:style>
  <w:style w:type="paragraph" w:styleId="696">
    <w:name w:val="Normal (Web)"/>
    <w:basedOn w:val="682"/>
    <w:uiPriority w:val="99"/>
    <w:unhideWhenUsed/>
    <w:rPr>
      <w:rFonts w:ascii="Times New Roman" w:hAnsi="Times New Roman" w:cs="Times New Roman"/>
      <w:sz w:val="24"/>
      <w:szCs w:val="24"/>
    </w:rPr>
  </w:style>
  <w:style w:type="table" w:styleId="697">
    <w:name w:val="Table Simple 1"/>
    <w:basedOn w:val="684"/>
    <w:rPr>
      <w:rFonts w:ascii="Calibri" w:hAnsi="Calibri" w:cs="Times New Roman" w:eastAsia="Times New Roman"/>
      <w:sz w:val="20"/>
      <w:szCs w:val="20"/>
      <w:lang w:eastAsia="ru-RU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698" w:customStyle="1">
    <w:name w:val="Сетка таблицы1"/>
    <w:basedOn w:val="684"/>
    <w:next w:val="691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30</cp:revision>
  <dcterms:created xsi:type="dcterms:W3CDTF">2023-02-10T09:36:00Z</dcterms:created>
  <dcterms:modified xsi:type="dcterms:W3CDTF">2023-02-22T16:12:30Z</dcterms:modified>
</cp:coreProperties>
</file>